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Luleå kommunfullmäktige</w:t>
      </w:r>
    </w:p>
    <w:p>
      <w:pPr>
        <w:pStyle w:val="Heading1"/>
      </w:pPr>
      <w:r>
        <w:t xml:space="preserve">Ökad lärartäthet i Luleås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Luleå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Luleås meritvärde i årskurs 9 ligger under rikssnittet enligt Kolada 2024. Lärartätheten är 12,8 elever per lärare, sämre än jämförbara kommuner. Tidiga insatser i svenska och matematik är avgörande för att bryta utanförskap. Fler behöriga lärare ger bättre resultat och tryggare skolmiljö.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Luleå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till grundskolan med 15 miljoner kronor årligen från 2027 för att anställa 25 fler legitimerade lärare.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garanterad miniminivå på 11 elever per lärare i årskurs 1–6.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kompetensutveckling i läs- och skrivundervisning för alla lågstadielärare.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effekter på meritvärden årligen i budgetuppföljningen.</w:t>
      </w:r>
    </w:p>
    <w:p>
      <w:pPr>
        <w:spacing w:before="360"/>
      </w:pPr>
    </w:p>
    <w:p>
      <w:r>
        <w:t xml:space="preserve">Luleå,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Luleå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2026-07-14T04:23:39.850Z</dcterms:created>
  <dcterms:modified xsi:type="dcterms:W3CDTF">2026-07-14T04:23:39.850Z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